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2B3125" w:rsidRPr="002B3125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2B3125" w:rsidRPr="002B3125" w:rsidRDefault="002B3125" w:rsidP="002B3125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30</w:t>
            </w:r>
          </w:p>
          <w:p w:rsidR="002B3125" w:rsidRPr="002B3125" w:rsidRDefault="002B3125" w:rsidP="002B3125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2B3125" w:rsidRPr="002B3125" w:rsidRDefault="002B3125" w:rsidP="002B3125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2B3125" w:rsidRPr="002B3125" w:rsidRDefault="002B3125" w:rsidP="002B3125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2B3125" w:rsidRPr="002B3125" w:rsidRDefault="002B3125" w:rsidP="002B312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B3125">
        <w:rPr>
          <w:rFonts w:eastAsia="Calibri" w:cs="Times New Roman"/>
          <w:b/>
          <w:sz w:val="24"/>
          <w:szCs w:val="24"/>
        </w:rPr>
        <w:t>ТИПОВАЯ ТЕХНОЛОГИЧЕСКАЯ СХЕМА</w:t>
      </w:r>
    </w:p>
    <w:p w:rsidR="002B3125" w:rsidRPr="002B3125" w:rsidRDefault="002B3125" w:rsidP="002B312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B3125">
        <w:rPr>
          <w:rFonts w:eastAsia="Calibri" w:cs="Times New Roman"/>
          <w:b/>
          <w:sz w:val="24"/>
          <w:szCs w:val="24"/>
        </w:rPr>
        <w:t>ПРЕДОСТАВЛЕНИЯ МУНИЦИПАЛЬНОЙ УСЛУГИ</w:t>
      </w:r>
    </w:p>
    <w:p w:rsidR="002B3125" w:rsidRPr="002B3125" w:rsidRDefault="002B3125" w:rsidP="002B3125">
      <w:pPr>
        <w:keepNext/>
        <w:keepLines/>
        <w:spacing w:after="0" w:line="240" w:lineRule="auto"/>
        <w:outlineLvl w:val="0"/>
        <w:rPr>
          <w:rFonts w:eastAsia="Calibri" w:cs="Times New Roman"/>
          <w:b/>
          <w:bCs/>
          <w:sz w:val="24"/>
          <w:szCs w:val="24"/>
        </w:rPr>
      </w:pPr>
      <w:r w:rsidRPr="002B3125">
        <w:rPr>
          <w:rFonts w:eastAsia="Calibri" w:cs="Times New Roman"/>
          <w:b/>
          <w:bCs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2B3125" w:rsidRPr="002B3125" w:rsidTr="002F7BFE">
        <w:tc>
          <w:tcPr>
            <w:tcW w:w="959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B3125" w:rsidRPr="002B3125" w:rsidTr="002F7BFE">
        <w:tc>
          <w:tcPr>
            <w:tcW w:w="959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Номер услуги в федеральном реестре</w:t>
            </w:r>
            <w:r w:rsidRPr="002B3125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3640100010000834455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2B3125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Административный регламент не утвержден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</w:tr>
      <w:tr w:rsidR="002B3125" w:rsidRPr="002B3125" w:rsidTr="002F7BFE">
        <w:tc>
          <w:tcPr>
            <w:tcW w:w="959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2B3125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радиотелефонная связь;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терминальные устройства в МФЦ;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официальный сайт органа;</w:t>
            </w:r>
          </w:p>
          <w:p w:rsidR="002B3125" w:rsidRPr="002B3125" w:rsidRDefault="002B3125" w:rsidP="002B3125">
            <w:pPr>
              <w:spacing w:after="0" w:line="240" w:lineRule="auto"/>
              <w:ind w:left="-102" w:right="-102"/>
              <w:rPr>
                <w:rFonts w:eastAsia="Calibri" w:cs="Times New Roman"/>
                <w:sz w:val="24"/>
                <w:szCs w:val="24"/>
              </w:rPr>
            </w:pPr>
            <w:r w:rsidRPr="002B3125">
              <w:rPr>
                <w:rFonts w:eastAsia="Calibri" w:cs="Times New Roman"/>
                <w:sz w:val="24"/>
                <w:szCs w:val="24"/>
              </w:rPr>
              <w:t>- другие способы</w:t>
            </w: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2B3125" w:rsidRPr="002B3125" w:rsidTr="002F7BFE">
        <w:tc>
          <w:tcPr>
            <w:tcW w:w="2376" w:type="dxa"/>
            <w:gridSpan w:val="2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 «подуслуги»</w:t>
            </w:r>
          </w:p>
        </w:tc>
      </w:tr>
      <w:tr w:rsidR="002B3125" w:rsidRPr="002B3125" w:rsidTr="002F7BFE">
        <w:tc>
          <w:tcPr>
            <w:tcW w:w="1242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При подаче заявления не по месту жительства 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(по месту обращения)</w:t>
            </w:r>
          </w:p>
        </w:tc>
        <w:tc>
          <w:tcPr>
            <w:tcW w:w="1276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125" w:rsidRPr="002B3125" w:rsidTr="002F7BFE">
        <w:tc>
          <w:tcPr>
            <w:tcW w:w="124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3125" w:rsidRPr="002B3125" w:rsidTr="002F7BFE">
        <w:tc>
          <w:tcPr>
            <w:tcW w:w="15276" w:type="dxa"/>
            <w:gridSpan w:val="11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c>
          <w:tcPr>
            <w:tcW w:w="1242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45 календарных дней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45 календарных дней</w:t>
            </w:r>
          </w:p>
        </w:tc>
        <w:tc>
          <w:tcPr>
            <w:tcW w:w="1276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нет</w:t>
            </w:r>
          </w:p>
        </w:tc>
        <w:tc>
          <w:tcPr>
            <w:tcW w:w="2835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1) непредставление указанных документов: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правоустанавливающие документы на переводимое помещение в случае, если право на переводимое помещение не зарегистрировано в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ЕГРП (подлинники или засвидетельствованные в нотариальном порядке копии);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подготовленный и оформленный в установленном порядке проект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(организации, имеющие свидетельство о допуске к выполнению таких работ, выданное саморегулируемыми организациями в строительной отрасли).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2) несоблюдение условий перевода жилых помещений в нежилые помещения: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а) доступ к переводимому помещению невозможен без использования помещений, обеспечивающих доступ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к жилым помещениям, или отсутствует техническая возможность оборудовать такой доступ к данному помещению;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б)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в) право собственности на переводимое помещение обременено правами каких-либо лиц;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г)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3) несоблюдение условий перевода нежилых помещений в жилые помещения: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а) помещение не отвечает установленным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требованиям или отсутствует возможность обеспечить соответствие такого помещения установленным требованиям;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б) право собственности на такое помещение обременено правами каких-либо лиц;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4) в случае если управление после 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5) несоответствие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</w:tcPr>
          <w:p w:rsidR="002B3125" w:rsidRPr="002B3125" w:rsidRDefault="002B3125" w:rsidP="002B3125">
            <w:pPr>
              <w:spacing w:after="0" w:line="240" w:lineRule="auto"/>
              <w:ind w:left="-107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в орган на бумажном носителе; </w:t>
            </w:r>
          </w:p>
          <w:p w:rsidR="002B3125" w:rsidRPr="002B3125" w:rsidRDefault="002B3125" w:rsidP="002B3125">
            <w:pPr>
              <w:spacing w:after="0" w:line="240" w:lineRule="auto"/>
              <w:ind w:left="-107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- посредством почтовой связи в орган;</w:t>
            </w:r>
          </w:p>
          <w:p w:rsidR="002B3125" w:rsidRPr="002B3125" w:rsidRDefault="002B3125" w:rsidP="002B3125">
            <w:pPr>
              <w:spacing w:after="0" w:line="240" w:lineRule="auto"/>
              <w:ind w:left="-107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в МФЦ на бумажном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носителе; </w:t>
            </w:r>
          </w:p>
          <w:p w:rsidR="002B3125" w:rsidRPr="002B3125" w:rsidRDefault="002B3125" w:rsidP="002B3125">
            <w:pPr>
              <w:spacing w:after="0" w:line="240" w:lineRule="auto"/>
              <w:ind w:left="-107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- через Портал государственных и муниципальных услуг Воронежской области</w:t>
            </w:r>
          </w:p>
          <w:p w:rsidR="002B3125" w:rsidRPr="002B3125" w:rsidRDefault="002B3125" w:rsidP="002B3125">
            <w:pPr>
              <w:spacing w:after="0" w:line="240" w:lineRule="auto"/>
              <w:ind w:left="-107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- Единый портал государственных и муниципальных услуг</w:t>
            </w:r>
          </w:p>
        </w:tc>
        <w:tc>
          <w:tcPr>
            <w:tcW w:w="1560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в виде бумажного документа непосредственно при личном обращении в администрац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ию или МФЦ;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- в виде бумажного документа, посредством почтового отправления;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в виде электронного документа, который направляется администрацией заявителю посредством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электронной почты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2B3125" w:rsidRPr="002B3125" w:rsidTr="002F7BFE">
        <w:trPr>
          <w:trHeight w:val="2287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55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3125" w:rsidRPr="002B3125" w:rsidTr="002F7BFE">
        <w:trPr>
          <w:trHeight w:val="236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3125" w:rsidRPr="002B3125" w:rsidTr="002F7BFE">
        <w:trPr>
          <w:trHeight w:val="236"/>
        </w:trPr>
        <w:tc>
          <w:tcPr>
            <w:tcW w:w="15417" w:type="dxa"/>
            <w:gridSpan w:val="8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Физические лица, являющиеся собственниками соответствующего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 - паспорт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услуги. Не должен содержать подчисток, приписок, зачеркнутых слов и других исправлений.Копии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услуги. Не должен содержать подчисток, приписок, зачеркнутых слов и других исправлений.</w:t>
            </w:r>
          </w:p>
        </w:tc>
      </w:tr>
      <w:tr w:rsidR="002B3125" w:rsidRPr="002B3125" w:rsidTr="002F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2B3125" w:rsidRPr="002B3125" w:rsidTr="002F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Иной документ, подтверждающий полномочия (акт органа опеки)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Должен быть действительным на срок обращения за предоставлением услуги. Не должен содержать подчисток, приписок,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</w:tr>
      <w:tr w:rsidR="002B3125" w:rsidRPr="002B3125" w:rsidTr="002F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Юридические лица, являющиеся собственниками соответствующего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2B3125" w:rsidRPr="002B3125" w:rsidTr="002F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4419"/>
        <w:gridCol w:w="1134"/>
        <w:gridCol w:w="1746"/>
        <w:gridCol w:w="3543"/>
        <w:gridCol w:w="1418"/>
        <w:gridCol w:w="1275"/>
      </w:tblGrid>
      <w:tr w:rsidR="002B3125" w:rsidRPr="002B3125" w:rsidTr="002F7BFE">
        <w:trPr>
          <w:trHeight w:val="1865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41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документа/заполнения документа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B3125" w:rsidRPr="002B3125" w:rsidTr="002F7BFE"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3125" w:rsidRPr="002B3125" w:rsidTr="002F7BFE">
        <w:tc>
          <w:tcPr>
            <w:tcW w:w="15344" w:type="dxa"/>
            <w:gridSpan w:val="8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rPr>
          <w:trHeight w:val="675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2B3125" w:rsidRPr="002B3125" w:rsidRDefault="002B3125" w:rsidP="002B312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заявление;</w:t>
            </w:r>
          </w:p>
          <w:p w:rsidR="002B3125" w:rsidRPr="002B3125" w:rsidRDefault="002B3125" w:rsidP="002B312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174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 письменном заявлении должна быть указана информация о заявителе (Ф.И.О., паспортные данные, адрес места регистрации, контактный телефон (телефон указывается по желанию). Заявление должно быть подписано заявителем.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</w:tr>
      <w:tr w:rsidR="002B3125" w:rsidRPr="002B3125" w:rsidTr="002F7BFE">
        <w:trPr>
          <w:trHeight w:val="1695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4419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правоустанавливающие документы на переводимое помещение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 экз. (подлинники или засвидетельствованные в нотариальном порядке копии)</w:t>
            </w:r>
          </w:p>
        </w:tc>
        <w:tc>
          <w:tcPr>
            <w:tcW w:w="1746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если право на переводимое помещение не зарегистрировано в Едином государственном реестре прав на недвижимое имущество и сделок с ним 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разборчивое написание текста документа шариковой, гелевой ручкой или при помощи средств электронно-вычислительной техники.;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Копии документов, не заверенные надлежащим образом, представляются заявителем с предъявлением оригиналов.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2B3125" w:rsidRPr="002B3125" w:rsidTr="002F7BFE"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проект переустройства и (или) перепланировки</w:t>
            </w:r>
          </w:p>
        </w:tc>
        <w:tc>
          <w:tcPr>
            <w:tcW w:w="4419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подготовленный и оформленный в установленном порядке проект переустройства и (или) перепланировки переводимого помещения 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74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в случае, если переустройство и (или) перепланировка требуются для обеспечения использования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 xml:space="preserve">такого помещения в качестве жилого или нежилого помещения </w:t>
            </w:r>
          </w:p>
        </w:tc>
        <w:tc>
          <w:tcPr>
            <w:tcW w:w="354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Проект готовится организацией, имеющей свидетельство о допуске к выполнению таких работ, выданное саморегулируемыми организациями в строительной отрасли.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2B3125" w:rsidRPr="002B3125" w:rsidTr="002F7BFE">
        <w:trPr>
          <w:trHeight w:val="2287"/>
        </w:trPr>
        <w:tc>
          <w:tcPr>
            <w:tcW w:w="11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96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  <w:t>SID</w:t>
            </w: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электронного сервиса / наименование вида сведений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6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(шаблон) межведомственного запроса и ответа на межведомственный запрос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заполнения формы межведомственного запроса и ответа на межведомственный запрос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B3125" w:rsidRPr="002B3125" w:rsidTr="002F7BFE">
        <w:trPr>
          <w:trHeight w:val="232"/>
        </w:trPr>
        <w:tc>
          <w:tcPr>
            <w:tcW w:w="11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3125" w:rsidRPr="002B3125" w:rsidTr="002F7BFE">
        <w:trPr>
          <w:trHeight w:val="232"/>
        </w:trPr>
        <w:tc>
          <w:tcPr>
            <w:tcW w:w="15275" w:type="dxa"/>
            <w:gridSpan w:val="9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rPr>
          <w:trHeight w:val="232"/>
        </w:trPr>
        <w:tc>
          <w:tcPr>
            <w:tcW w:w="11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 Выписка из Единого государственного реестра прав на недвижимое имущество и сделок с ним о зарегистрированных правах на объект недвижимости.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701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кадастровый номер объекта недвижимости;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</w:t>
            </w:r>
            <w:hyperlink r:id="rId7" w:history="1">
              <w:r w:rsidRPr="002B3125">
                <w:rPr>
                  <w:rFonts w:eastAsia="Calibri" w:cs="Times New Roman"/>
                  <w:sz w:val="24"/>
                  <w:szCs w:val="24"/>
                  <w:effect w:val="lights"/>
                </w:rPr>
                <w:t>ОКАТО</w:t>
              </w:r>
            </w:hyperlink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район, город, населенный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пункт, улица, дом, корпус, строение, квартира.</w:t>
            </w:r>
          </w:p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126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5 рабочих дней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125" w:rsidRPr="002B3125" w:rsidTr="002F7BFE">
        <w:trPr>
          <w:trHeight w:val="232"/>
        </w:trPr>
        <w:tc>
          <w:tcPr>
            <w:tcW w:w="110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 План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</w:t>
            </w:r>
          </w:p>
        </w:tc>
        <w:tc>
          <w:tcPr>
            <w:tcW w:w="1701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Администрация муниципального образования</w:t>
            </w:r>
          </w:p>
        </w:tc>
        <w:tc>
          <w:tcPr>
            <w:tcW w:w="2126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1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lastRenderedPageBreak/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6. РЕЗУЛЬТАТ «ПОДУСЛУГИ»</w:t>
      </w:r>
    </w:p>
    <w:tbl>
      <w:tblPr>
        <w:tblW w:w="15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14"/>
        <w:gridCol w:w="3060"/>
        <w:gridCol w:w="1698"/>
        <w:gridCol w:w="1620"/>
        <w:gridCol w:w="1620"/>
        <w:gridCol w:w="1902"/>
        <w:gridCol w:w="1275"/>
        <w:gridCol w:w="1559"/>
      </w:tblGrid>
      <w:tr w:rsidR="002B3125" w:rsidRPr="002B3125" w:rsidTr="002F7BFE">
        <w:trPr>
          <w:trHeight w:val="1559"/>
        </w:trPr>
        <w:tc>
          <w:tcPr>
            <w:tcW w:w="534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3060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Требования к документу/документам,  являющимся результатом «подуслуги»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98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Характеристика результата (положительный/отрицательны)</w:t>
            </w:r>
          </w:p>
        </w:tc>
        <w:tc>
          <w:tcPr>
            <w:tcW w:w="1620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документа/документов, являющихся результатом «подуслуги»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620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документа/документов, являющихся результатом «подуслуги»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902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2B3125" w:rsidRPr="002B3125" w:rsidTr="002F7BFE">
        <w:trPr>
          <w:trHeight w:val="377"/>
        </w:trPr>
        <w:tc>
          <w:tcPr>
            <w:tcW w:w="534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МФЦ</w:t>
            </w:r>
          </w:p>
        </w:tc>
      </w:tr>
      <w:tr w:rsidR="002B3125" w:rsidRPr="002B3125" w:rsidTr="002F7BFE"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3125" w:rsidRPr="002B3125" w:rsidTr="002F7BFE">
        <w:tc>
          <w:tcPr>
            <w:tcW w:w="15182" w:type="dxa"/>
            <w:gridSpan w:val="9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rPr>
          <w:trHeight w:val="2581"/>
        </w:trPr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Уведомление о переводе жилого (нежилого) помещения в нежилое (жилое) помещение.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3060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69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 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 </w:t>
            </w:r>
          </w:p>
        </w:tc>
        <w:tc>
          <w:tcPr>
            <w:tcW w:w="1902" w:type="dxa"/>
            <w:vMerge w:val="restart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Администрация, почтовое отправление, МФЦ, в электронном виде через личный кабинет. Одним из способов, указанном в заявлении.</w:t>
            </w: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125" w:rsidRPr="002B3125" w:rsidTr="002F7BFE">
        <w:tc>
          <w:tcPr>
            <w:tcW w:w="53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Уведомление об отказе в переводе жилого (нежилого) помещения в нежилое (жилое) помещение.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3060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основание отказа </w:t>
            </w: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 предоставлении услуги.</w:t>
            </w:r>
          </w:p>
        </w:tc>
        <w:tc>
          <w:tcPr>
            <w:tcW w:w="169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 </w:t>
            </w:r>
          </w:p>
        </w:tc>
        <w:tc>
          <w:tcPr>
            <w:tcW w:w="1620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 </w:t>
            </w:r>
          </w:p>
        </w:tc>
        <w:tc>
          <w:tcPr>
            <w:tcW w:w="1902" w:type="dxa"/>
            <w:vMerge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lastRenderedPageBreak/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2B3125" w:rsidRPr="002B3125" w:rsidTr="002F7BFE">
        <w:tc>
          <w:tcPr>
            <w:tcW w:w="53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524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35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  <w:r w:rsidRPr="002B3125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2B3125" w:rsidRPr="002B3125" w:rsidTr="002F7BFE">
        <w:tc>
          <w:tcPr>
            <w:tcW w:w="53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3125" w:rsidRPr="002B3125" w:rsidTr="002F7BFE">
        <w:tc>
          <w:tcPr>
            <w:tcW w:w="14786" w:type="dxa"/>
            <w:gridSpan w:val="7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c>
          <w:tcPr>
            <w:tcW w:w="14786" w:type="dxa"/>
            <w:gridSpan w:val="7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административной процедуры: Прием и регистрация заявления и прилагаемых к нему документов.</w:t>
            </w:r>
          </w:p>
        </w:tc>
      </w:tr>
      <w:tr w:rsidR="002B3125" w:rsidRPr="002B3125" w:rsidTr="002F7BFE">
        <w:trPr>
          <w:trHeight w:val="2262"/>
        </w:trPr>
        <w:tc>
          <w:tcPr>
            <w:tcW w:w="53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Прием и регистрация заявления и прилагаемых к нему документов.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524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проверяет соответствие заявления установленным требованиям;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регистрирует заявление с прилагаемым комплектом документов;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0" w:name="sub_3237"/>
            <w:bookmarkEnd w:id="0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выдает расписку в получении документов по установленной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1" w:name="sub_32371"/>
            <w:bookmarkEnd w:id="1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При наличии оснований для отказа в приеме документов заявитель уведомляется о наличии препятствий к принятию документов, специалист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Специалист администрации, 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Специалист МФЦ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Правовое, документационноеи технологическое обеспечение</w:t>
            </w:r>
          </w:p>
        </w:tc>
        <w:tc>
          <w:tcPr>
            <w:tcW w:w="135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Приложение №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125" w:rsidRPr="002B3125" w:rsidTr="002F7BFE">
        <w:trPr>
          <w:trHeight w:val="569"/>
        </w:trPr>
        <w:tc>
          <w:tcPr>
            <w:tcW w:w="14786" w:type="dxa"/>
            <w:gridSpan w:val="7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b/>
                <w:sz w:val="24"/>
                <w:szCs w:val="24"/>
                <w:effect w:val="lights"/>
              </w:rPr>
              <w:lastRenderedPageBreak/>
              <w:t>2. Наименование административной процедуры:Рассмотрение представленных документов и принятие решения о переводе (отказе в переводе) жилого (нежилого) помещения в нежилое (жилое) помещение</w:t>
            </w:r>
          </w:p>
        </w:tc>
      </w:tr>
      <w:tr w:rsidR="002B3125" w:rsidRPr="002B3125" w:rsidTr="002F7BFE">
        <w:trPr>
          <w:trHeight w:val="278"/>
        </w:trPr>
        <w:tc>
          <w:tcPr>
            <w:tcW w:w="53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Рассмотрение представленных документов и принятие решения о переводе (отказе в переводе) жилого (нежилого) помещения в нежилое (жилое) помещение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5244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Специалист проводит проверку заявления и прилагаемых документов на соответствие требованиям.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 случае отсутствия в представленном пакете документов: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выписка из Единого государственного реестра прав на недвижимое имущество и сделок с ним о зарегистрированных правах на объект недвижимости;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план переводимого помещения с его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поэтажный план дома, в котором находится переводимое помещение,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области, в орган технического учета и технической инвентаризации объектов капитального строительства.По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 случае поступления в управление ответа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2" w:name="sub_335"/>
            <w:bookmarkEnd w:id="2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В случае отсутствия оснований для отказа в предоставлении услуги принимается решение о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переводе жилого (нежилого) помещения в нежилое (жилое) помещение.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3" w:name="sub_3351"/>
            <w:bookmarkEnd w:id="3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 случае наличия таких оснований принимается решение об отказе в переводе жилого (нежилого) помещения в нежилое (жилое) помещение.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4" w:name="sub_336"/>
            <w:bookmarkEnd w:id="4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По результатам принятого решения специалист</w:t>
            </w:r>
            <w:bookmarkStart w:id="5" w:name="sub_337"/>
            <w:bookmarkEnd w:id="5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готовит проект приказа и уведомление о переводе или об отказе в переводе жилого (нежилого) помещения в нежилое (жилое) помещение по форме.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6" w:name="sub_3371"/>
            <w:bookmarkEnd w:id="6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В случае отказа в переводе указываются причины, послужившие основанием для отказа в переводе жилого (нежилого) помещения в нежилое (жилое) помещение, с обязательной ссылкой на нарушения, предусмотренные </w:t>
            </w:r>
            <w:hyperlink r:id="rId8" w:history="1">
              <w:r w:rsidRPr="002B3125">
                <w:rPr>
                  <w:rFonts w:eastAsia="Calibri" w:cs="Times New Roman"/>
                  <w:sz w:val="24"/>
                  <w:szCs w:val="24"/>
                  <w:effect w:val="lights"/>
                </w:rPr>
                <w:t>частью 1 статьи 24</w:t>
              </w:r>
            </w:hyperlink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Жилищного кодекса Российской Федерации;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bookmarkStart w:id="7" w:name="sub_3372"/>
            <w:bookmarkEnd w:id="7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Специалист передает подготовленные проект приказа и уведомление на согласование начальнику отдела, затем на подписание руководителю. </w:t>
            </w:r>
            <w:bookmarkStart w:id="8" w:name="sub_33721"/>
            <w:bookmarkEnd w:id="8"/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При поступлении в управление заявления о переводе жилого (нежилого) в нежилое (жилое) помещения через МФЦ зарегистрированное </w:t>
            </w: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уведомление о переводе (отказе в переводе) помещения направляется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44 календарных дня</w:t>
            </w:r>
          </w:p>
        </w:tc>
        <w:tc>
          <w:tcPr>
            <w:tcW w:w="1984" w:type="dxa"/>
          </w:tcPr>
          <w:p w:rsidR="002B3125" w:rsidRPr="002B3125" w:rsidRDefault="002B3125" w:rsidP="002B3125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Правовое, документационное и технологическое обеспечение</w:t>
            </w:r>
          </w:p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</w:tr>
      <w:tr w:rsidR="002B3125" w:rsidRPr="002B3125" w:rsidTr="002F7BFE">
        <w:trPr>
          <w:trHeight w:val="566"/>
        </w:trPr>
        <w:tc>
          <w:tcPr>
            <w:tcW w:w="14786" w:type="dxa"/>
            <w:gridSpan w:val="7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b/>
                <w:sz w:val="24"/>
                <w:szCs w:val="24"/>
                <w:effect w:val="lights"/>
              </w:rPr>
              <w:lastRenderedPageBreak/>
              <w:t>3. Наименование административной процедуры:Выдача (направление) заявителю уведомления о переводе (отказе в переводе) жилого (нежилого) помещения в нежилое (жилое) помещение</w:t>
            </w:r>
          </w:p>
        </w:tc>
      </w:tr>
      <w:tr w:rsidR="002B3125" w:rsidRPr="002B3125" w:rsidTr="002F7BFE">
        <w:trPr>
          <w:trHeight w:val="1407"/>
        </w:trPr>
        <w:tc>
          <w:tcPr>
            <w:tcW w:w="53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Выдача (направление) заявителю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524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Уведомление о переводе (отказе в переводе) жилого (нежилого) помещения в нежилое (жилое) помещение направляется по адресу, указанному в заявлении,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3 рабочих дня</w:t>
            </w:r>
          </w:p>
        </w:tc>
        <w:tc>
          <w:tcPr>
            <w:tcW w:w="1984" w:type="dxa"/>
          </w:tcPr>
          <w:p w:rsidR="002B3125" w:rsidRPr="002B3125" w:rsidRDefault="002B3125" w:rsidP="002B3125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Правовое, документационное и технологическое обеспечение</w:t>
            </w:r>
          </w:p>
        </w:tc>
        <w:tc>
          <w:tcPr>
            <w:tcW w:w="1353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</w:tr>
    </w:tbl>
    <w:p w:rsidR="002B3125" w:rsidRPr="002B3125" w:rsidRDefault="002B3125" w:rsidP="002B3125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2B3125" w:rsidRPr="002B3125" w:rsidRDefault="002B3125" w:rsidP="002B3125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B3125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2B31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5"/>
        <w:gridCol w:w="1924"/>
        <w:gridCol w:w="1923"/>
        <w:gridCol w:w="2212"/>
        <w:gridCol w:w="2263"/>
        <w:gridCol w:w="1923"/>
        <w:gridCol w:w="1936"/>
      </w:tblGrid>
      <w:tr w:rsidR="002B3125" w:rsidRPr="002B3125" w:rsidTr="002F7BFE">
        <w:tc>
          <w:tcPr>
            <w:tcW w:w="246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45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45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32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4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83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B3125" w:rsidRPr="002B3125" w:rsidTr="002F7BFE">
        <w:tc>
          <w:tcPr>
            <w:tcW w:w="246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3125" w:rsidRPr="002B3125" w:rsidTr="002F7BFE">
        <w:tc>
          <w:tcPr>
            <w:tcW w:w="14786" w:type="dxa"/>
            <w:gridSpan w:val="7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2B3125" w:rsidRPr="002B3125" w:rsidTr="002F7BFE">
        <w:tc>
          <w:tcPr>
            <w:tcW w:w="2461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SimSu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SimSun" w:cs="Times New Roman"/>
                <w:sz w:val="24"/>
                <w:szCs w:val="24"/>
                <w:effect w:val="lights"/>
              </w:rPr>
              <w:t>нет</w:t>
            </w:r>
          </w:p>
        </w:tc>
        <w:tc>
          <w:tcPr>
            <w:tcW w:w="2321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SimSun" w:cs="Times New Roman"/>
                <w:sz w:val="24"/>
                <w:szCs w:val="24"/>
                <w:effect w:val="lights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49" w:type="dxa"/>
          </w:tcPr>
          <w:p w:rsidR="002B3125" w:rsidRPr="002B3125" w:rsidRDefault="002B3125" w:rsidP="002B312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4" w:type="dxa"/>
          </w:tcPr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2B3125">
              <w:rPr>
                <w:rFonts w:eastAsia="SimSun" w:cs="Times New Roman"/>
                <w:sz w:val="24"/>
                <w:szCs w:val="24"/>
                <w:effect w:val="lights"/>
              </w:rPr>
              <w:t xml:space="preserve"> Электронная почта заявителя</w:t>
            </w:r>
          </w:p>
        </w:tc>
        <w:tc>
          <w:tcPr>
            <w:tcW w:w="2833" w:type="dxa"/>
          </w:tcPr>
          <w:p w:rsidR="002B3125" w:rsidRPr="002B3125" w:rsidRDefault="002B3125" w:rsidP="002B312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3125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Единый портал государственных и муниципальных услуг (функций) </w:t>
            </w:r>
          </w:p>
          <w:p w:rsidR="002B3125" w:rsidRPr="002B3125" w:rsidRDefault="002B3125" w:rsidP="002B312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  <w:r w:rsidRPr="002B3125">
              <w:rPr>
                <w:rFonts w:eastAsia="Times New Roman" w:cs="Times New Roman"/>
                <w:sz w:val="24"/>
                <w:szCs w:val="24"/>
                <w:effect w:val="lights"/>
              </w:rPr>
              <w:t>- Портал государственных и муниципальных услуг Воронежской области</w:t>
            </w:r>
          </w:p>
        </w:tc>
      </w:tr>
    </w:tbl>
    <w:p w:rsidR="006A7F89" w:rsidRDefault="006A7F89" w:rsidP="002B3125"/>
    <w:sectPr w:rsidR="006A7F89" w:rsidSect="002B3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38" w:rsidRDefault="00725838" w:rsidP="002B3125">
      <w:pPr>
        <w:spacing w:after="0" w:line="240" w:lineRule="auto"/>
      </w:pPr>
      <w:r>
        <w:separator/>
      </w:r>
    </w:p>
  </w:endnote>
  <w:endnote w:type="continuationSeparator" w:id="0">
    <w:p w:rsidR="00725838" w:rsidRDefault="00725838" w:rsidP="002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38" w:rsidRDefault="00725838" w:rsidP="002B3125">
      <w:pPr>
        <w:spacing w:after="0" w:line="240" w:lineRule="auto"/>
      </w:pPr>
      <w:r>
        <w:separator/>
      </w:r>
    </w:p>
  </w:footnote>
  <w:footnote w:type="continuationSeparator" w:id="0">
    <w:p w:rsidR="00725838" w:rsidRDefault="00725838" w:rsidP="002B3125">
      <w:pPr>
        <w:spacing w:after="0" w:line="240" w:lineRule="auto"/>
      </w:pPr>
      <w:r>
        <w:continuationSeparator/>
      </w:r>
    </w:p>
  </w:footnote>
  <w:footnote w:id="1">
    <w:p w:rsidR="002B3125" w:rsidRDefault="002B3125" w:rsidP="002B3125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B3125" w:rsidRDefault="002B3125" w:rsidP="002B3125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B3125" w:rsidRDefault="002B3125" w:rsidP="002B3125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2B3125" w:rsidRDefault="002B3125" w:rsidP="002B3125">
      <w:pPr>
        <w:pStyle w:val="af3"/>
      </w:pPr>
      <w:r>
        <w:rPr>
          <w:rStyle w:val="af5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5">
    <w:p w:rsidR="002B3125" w:rsidRDefault="002B3125" w:rsidP="002B3125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2B3125" w:rsidRDefault="002B3125" w:rsidP="002B3125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B3125" w:rsidRDefault="002B3125" w:rsidP="002B3125">
      <w:pPr>
        <w:pStyle w:val="af3"/>
      </w:pPr>
      <w:r>
        <w:rPr>
          <w:rStyle w:val="af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2B3125" w:rsidRDefault="002B3125" w:rsidP="002B3125">
      <w:pPr>
        <w:pStyle w:val="af3"/>
      </w:pPr>
      <w:r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125"/>
    <w:rsid w:val="002B3125"/>
    <w:rsid w:val="006A7F89"/>
    <w:rsid w:val="00725838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9"/>
  </w:style>
  <w:style w:type="paragraph" w:styleId="1">
    <w:name w:val="heading 1"/>
    <w:basedOn w:val="a"/>
    <w:next w:val="a"/>
    <w:link w:val="10"/>
    <w:qFormat/>
    <w:rsid w:val="002B31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3125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25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3125"/>
    <w:rPr>
      <w:rFonts w:ascii="Cambria" w:eastAsia="Calibri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rsid w:val="002B3125"/>
  </w:style>
  <w:style w:type="paragraph" w:customStyle="1" w:styleId="NoSpacing">
    <w:name w:val="No Spacing"/>
    <w:rsid w:val="002B3125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2B31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B3125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3125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2B312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2B3125"/>
    <w:pPr>
      <w:widowControl w:val="0"/>
      <w:shd w:val="clear" w:color="auto" w:fill="FFFFFF"/>
      <w:spacing w:after="120" w:line="0" w:lineRule="atLeast"/>
      <w:ind w:hanging="1840"/>
      <w:jc w:val="both"/>
    </w:pPr>
    <w:rPr>
      <w:sz w:val="27"/>
      <w:szCs w:val="27"/>
    </w:rPr>
  </w:style>
  <w:style w:type="character" w:customStyle="1" w:styleId="12">
    <w:name w:val="Основной текст1"/>
    <w:basedOn w:val="a5"/>
    <w:rsid w:val="002B3125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2B3125"/>
    <w:rPr>
      <w:sz w:val="24"/>
      <w:szCs w:val="24"/>
    </w:rPr>
  </w:style>
  <w:style w:type="paragraph" w:styleId="a7">
    <w:name w:val="header"/>
    <w:basedOn w:val="a"/>
    <w:link w:val="a6"/>
    <w:rsid w:val="002B312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7"/>
    <w:uiPriority w:val="99"/>
    <w:semiHidden/>
    <w:rsid w:val="002B3125"/>
  </w:style>
  <w:style w:type="character" w:customStyle="1" w:styleId="135pt">
    <w:name w:val="Основной текст + 13;5 pt"/>
    <w:basedOn w:val="a5"/>
    <w:rsid w:val="002B3125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2B3125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eastAsia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5"/>
    <w:rsid w:val="002B3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2B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2B3125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2B3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B31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2B3125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B3125"/>
    <w:pPr>
      <w:spacing w:after="120" w:line="240" w:lineRule="auto"/>
    </w:pPr>
    <w:rPr>
      <w:rFonts w:ascii="Courier New" w:eastAsia="Calibri" w:hAnsi="Courier New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rsid w:val="002B3125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2B3125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2B312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2B3125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2B3125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2B3125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2B3125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2B3125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2B3125"/>
  </w:style>
  <w:style w:type="character" w:customStyle="1" w:styleId="111">
    <w:name w:val="Основной текст + 111"/>
    <w:aliases w:val="5 pt1,Полужирный1"/>
    <w:rsid w:val="002B312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2B312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Обычный.Название подразделения"/>
    <w:rsid w:val="002B312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2B31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Cs w:val="28"/>
      <w:lang/>
    </w:rPr>
  </w:style>
  <w:style w:type="character" w:customStyle="1" w:styleId="af">
    <w:name w:val="Название Знак"/>
    <w:basedOn w:val="a0"/>
    <w:link w:val="ae"/>
    <w:rsid w:val="002B3125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2B31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2B3125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2B3125"/>
  </w:style>
  <w:style w:type="character" w:customStyle="1" w:styleId="BodyTextChar">
    <w:name w:val="Body Text Char"/>
    <w:basedOn w:val="a0"/>
    <w:locked/>
    <w:rsid w:val="002B312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2B3125"/>
    <w:pPr>
      <w:suppressAutoHyphens/>
      <w:spacing w:after="0" w:line="240" w:lineRule="auto"/>
      <w:ind w:right="43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2B3125"/>
    <w:rPr>
      <w:rFonts w:cs="Times New Roman"/>
    </w:rPr>
  </w:style>
  <w:style w:type="paragraph" w:customStyle="1" w:styleId="ConsPlusTitle">
    <w:name w:val="ConsPlusTitle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2B312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2B3125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2B3125"/>
    <w:rPr>
      <w:vertAlign w:val="superscript"/>
    </w:rPr>
  </w:style>
  <w:style w:type="paragraph" w:customStyle="1" w:styleId="ListParagraph">
    <w:name w:val="List Paragraph"/>
    <w:basedOn w:val="a"/>
    <w:rsid w:val="002B3125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">
    <w:name w:val="Style1"/>
    <w:basedOn w:val="a"/>
    <w:rsid w:val="002B312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312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22">
    <w:name w:val="Font Style22"/>
    <w:rsid w:val="002B3125"/>
    <w:rPr>
      <w:rFonts w:ascii="Courier New" w:hAnsi="Courier New"/>
      <w:sz w:val="20"/>
    </w:rPr>
  </w:style>
  <w:style w:type="character" w:customStyle="1" w:styleId="FontStyle31">
    <w:name w:val="Font Style31"/>
    <w:rsid w:val="002B3125"/>
    <w:rPr>
      <w:rFonts w:ascii="Times New Roman" w:hAnsi="Times New Roman"/>
      <w:sz w:val="14"/>
    </w:rPr>
  </w:style>
  <w:style w:type="character" w:customStyle="1" w:styleId="FontStyle25">
    <w:name w:val="Font Style25"/>
    <w:rsid w:val="002B3125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FontStyle28">
    <w:name w:val="Font Style28"/>
    <w:rsid w:val="002B3125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2B3125"/>
    <w:pPr>
      <w:widowControl w:val="0"/>
      <w:autoSpaceDE w:val="0"/>
      <w:autoSpaceDN w:val="0"/>
      <w:adjustRightInd w:val="0"/>
      <w:spacing w:after="0" w:line="180" w:lineRule="exact"/>
    </w:pPr>
    <w:rPr>
      <w:rFonts w:eastAsia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3125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rsid w:val="002B3125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2B3125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2B312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3125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eastAsia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3125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eastAsia="Calibri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2B31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2B3125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2B3125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2B3125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2B3125"/>
    <w:rPr>
      <w:rFonts w:cs="Times New Roman"/>
    </w:rPr>
  </w:style>
  <w:style w:type="character" w:customStyle="1" w:styleId="afa">
    <w:name w:val="Цветовое выделение"/>
    <w:rsid w:val="002B3125"/>
    <w:rPr>
      <w:b/>
      <w:color w:val="26282F"/>
    </w:rPr>
  </w:style>
  <w:style w:type="character" w:customStyle="1" w:styleId="afb">
    <w:name w:val="Гипертекстовая ссылка"/>
    <w:basedOn w:val="afa"/>
    <w:rsid w:val="002B3125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2B312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"/>
    <w:next w:val="a"/>
    <w:rsid w:val="002B31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2B3125"/>
    <w:rPr>
      <w:i/>
      <w:iCs/>
    </w:rPr>
  </w:style>
  <w:style w:type="paragraph" w:customStyle="1" w:styleId="ConsNonformat">
    <w:name w:val="ConsNonformat"/>
    <w:rsid w:val="002B31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2B3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"/>
    <w:basedOn w:val="a"/>
    <w:next w:val="a"/>
    <w:rsid w:val="002B312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hd w:val="clear" w:color="auto" w:fill="F0F0F0"/>
    </w:rPr>
  </w:style>
  <w:style w:type="table" w:styleId="aff1">
    <w:name w:val="Table Grid"/>
    <w:basedOn w:val="a1"/>
    <w:rsid w:val="002B3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2B31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2B3125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2B3125"/>
  </w:style>
  <w:style w:type="character" w:customStyle="1" w:styleId="29pt">
    <w:name w:val="Основной текст (2) + 9 pt"/>
    <w:rsid w:val="002B3125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2B3125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semiHidden/>
    <w:rsid w:val="002B3125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2B3125"/>
    <w:pPr>
      <w:spacing w:before="120" w:after="0" w:line="240" w:lineRule="auto"/>
      <w:ind w:left="360" w:right="-28"/>
      <w:jc w:val="both"/>
    </w:pPr>
    <w:rPr>
      <w:rFonts w:eastAsia="Times New Roman" w:cs="Times New Roman"/>
      <w:sz w:val="24"/>
      <w:szCs w:val="20"/>
    </w:rPr>
  </w:style>
  <w:style w:type="table" w:customStyle="1" w:styleId="14">
    <w:name w:val="Сетка таблицы1"/>
    <w:rsid w:val="002B3125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24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0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3463</Words>
  <Characters>19742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2018-03-22T11:35:00Z</dcterms:created>
  <dcterms:modified xsi:type="dcterms:W3CDTF">2018-03-22T11:36:00Z</dcterms:modified>
</cp:coreProperties>
</file>